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300" w:lineRule="auto"/>
        <w:jc w:val="center"/>
        <w:rPr>
          <w:color w:val="999aaa"/>
        </w:rPr>
      </w:pPr>
      <w:r w:rsidDel="00000000" w:rsidR="00000000" w:rsidRPr="00000000">
        <w:rPr>
          <w:color w:val="999aaa"/>
        </w:rPr>
        <w:drawing>
          <wp:inline distB="114300" distT="114300" distL="114300" distR="114300">
            <wp:extent cx="1252538" cy="1252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2538" cy="1252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0" w:line="300" w:lineRule="auto"/>
        <w:jc w:val="right"/>
        <w:rPr>
          <w:color w:val="999aaa"/>
        </w:rPr>
      </w:pPr>
      <w:r w:rsidDel="00000000" w:rsidR="00000000" w:rsidRPr="00000000">
        <w:rPr>
          <w:color w:val="999aaa"/>
          <w:rtl w:val="0"/>
        </w:rPr>
        <w:t xml:space="preserve">[Ciudad], [fecha]</w:t>
      </w:r>
    </w:p>
    <w:p w:rsidR="00000000" w:rsidDel="00000000" w:rsidP="00000000" w:rsidRDefault="00000000" w:rsidRPr="00000000" w14:paraId="00000003">
      <w:pPr>
        <w:spacing w:after="60" w:line="240" w:lineRule="auto"/>
        <w:rPr/>
      </w:pPr>
      <w:r w:rsidDel="00000000" w:rsidR="00000000" w:rsidRPr="00000000">
        <w:rPr>
          <w:rtl w:val="0"/>
        </w:rPr>
        <w:t xml:space="preserve"> </w:t>
      </w:r>
    </w:p>
    <w:p w:rsidR="00000000" w:rsidDel="00000000" w:rsidP="00000000" w:rsidRDefault="00000000" w:rsidRPr="00000000" w14:paraId="00000004">
      <w:pPr>
        <w:spacing w:after="40" w:line="240" w:lineRule="auto"/>
        <w:rPr>
          <w:b w:val="1"/>
          <w:bCs w:val="1"/>
        </w:rPr>
      </w:pPr>
      <w:r w:rsidDel="00000000" w:rsidR="00000000" w:rsidRPr="00000000">
        <w:rPr>
          <w:b w:val="1"/>
          <w:bCs w:val="1"/>
          <w:rtl w:val="0"/>
        </w:rPr>
        <w:t xml:space="preserve">[Nombre del gerente o representante legal]</w:t>
      </w:r>
    </w:p>
    <w:p w:rsidR="00000000" w:rsidDel="00000000" w:rsidP="00000000" w:rsidRDefault="00000000" w:rsidRPr="00000000" w14:paraId="00000005">
      <w:pPr>
        <w:spacing w:after="40" w:line="240" w:lineRule="auto"/>
        <w:rPr/>
      </w:pPr>
      <w:r w:rsidDel="00000000" w:rsidR="00000000" w:rsidRPr="00000000">
        <w:rPr>
          <w:rtl w:val="0"/>
        </w:rPr>
        <w:t xml:space="preserve">[Cargo]</w:t>
      </w:r>
    </w:p>
    <w:p w:rsidR="00000000" w:rsidDel="00000000" w:rsidP="00000000" w:rsidRDefault="00000000" w:rsidRPr="00000000" w14:paraId="00000006">
      <w:pPr>
        <w:spacing w:after="180" w:line="240" w:lineRule="auto"/>
        <w:rPr>
          <w:b w:val="1"/>
          <w:bCs w:val="1"/>
        </w:rPr>
      </w:pPr>
      <w:r w:rsidDel="00000000" w:rsidR="00000000" w:rsidRPr="00000000">
        <w:rPr>
          <w:b w:val="1"/>
          <w:bCs w:val="1"/>
          <w:rtl w:val="0"/>
        </w:rPr>
        <w:t xml:space="preserve">[Razón social de la empresa]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line="240" w:lineRule="auto"/>
        <w:ind w:left="160" w:firstLine="0"/>
        <w:rPr>
          <w:b w:val="1"/>
          <w:bCs w:val="1"/>
          <w:color w:val="1155cc"/>
        </w:rPr>
      </w:pPr>
      <w:r w:rsidDel="00000000" w:rsidR="00000000" w:rsidRPr="00000000">
        <w:rPr>
          <w:b w:val="1"/>
          <w:bCs w:val="1"/>
          <w:color w:val="1155cc"/>
          <w:rtl w:val="0"/>
        </w:rPr>
        <w:t xml:space="preserve">Asunto: Cambio en retención en la fuente — qué aplica desde el 1 de julio de 2026</w:t>
      </w:r>
    </w:p>
    <w:p w:rsidR="00000000" w:rsidDel="00000000" w:rsidP="00000000" w:rsidRDefault="00000000" w:rsidRPr="00000000" w14:paraId="00000008">
      <w:pPr>
        <w:spacing w:after="140" w:line="240" w:lineRule="auto"/>
        <w:jc w:val="both"/>
        <w:rPr/>
      </w:pPr>
      <w:r w:rsidDel="00000000" w:rsidR="00000000" w:rsidRPr="00000000">
        <w:rPr>
          <w:rtl w:val="0"/>
        </w:rPr>
        <w:t xml:space="preserve">Estimado/a </w:t>
      </w:r>
      <w:r w:rsidDel="00000000" w:rsidR="00000000" w:rsidRPr="00000000">
        <w:rPr>
          <w:b w:val="1"/>
          <w:bCs w:val="1"/>
          <w:rtl w:val="0"/>
        </w:rPr>
        <w:t xml:space="preserve">[nombre]</w:t>
      </w:r>
      <w:r w:rsidDel="00000000" w:rsidR="00000000" w:rsidRPr="00000000">
        <w:rPr>
          <w:rtl w:val="0"/>
        </w:rPr>
        <w:t xml:space="preserve">:</w:t>
      </w:r>
    </w:p>
    <w:p w:rsidR="00000000" w:rsidDel="00000000" w:rsidP="00000000" w:rsidRDefault="00000000" w:rsidRPr="00000000" w14:paraId="00000009">
      <w:pPr>
        <w:spacing w:after="200" w:line="240" w:lineRule="auto"/>
        <w:jc w:val="both"/>
        <w:rPr/>
      </w:pPr>
      <w:r w:rsidDel="00000000" w:rsidR="00000000" w:rsidRPr="00000000">
        <w:rPr>
          <w:rtl w:val="0"/>
        </w:rPr>
        <w:t xml:space="preserve">Le escribo para contarle algo que afecta directamente la operación de su empresa y que debemos resolver juntos antes del </w:t>
      </w:r>
      <w:r w:rsidDel="00000000" w:rsidR="00000000" w:rsidRPr="00000000">
        <w:rPr>
          <w:b w:val="1"/>
          <w:bCs w:val="1"/>
          <w:color w:val="1155cc"/>
          <w:rtl w:val="0"/>
        </w:rPr>
        <w:t xml:space="preserve">1 de julio de 2026</w:t>
      </w:r>
      <w:r w:rsidDel="00000000" w:rsidR="00000000" w:rsidRPr="00000000">
        <w:rPr>
          <w:color w:val="1155cc"/>
          <w:rtl w:val="0"/>
        </w:rPr>
        <w:t xml:space="preserve">.</w:t>
      </w:r>
      <w:r w:rsidDel="00000000" w:rsidR="00000000" w:rsidRPr="00000000">
        <w:rPr>
          <w:color w:val="4472c4"/>
          <w:rtl w:val="0"/>
        </w:rPr>
        <w:t xml:space="preserve"> </w:t>
      </w:r>
      <w:r w:rsidDel="00000000" w:rsidR="00000000" w:rsidRPr="00000000">
        <w:rPr>
          <w:rtl w:val="0"/>
        </w:rPr>
        <w:t xml:space="preserve">El Consejo de Estado revocó el 2 de junio de 2026 la suspensión del Decreto 572 de 2025 (la norma que regula cuánto se retiene en cada pago). Eso significa que las tarifas originales del decreto vuelven a aplicar desde esa fecha.</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2160" w:hRule="atLeast"/>
          <w:tblHeader w:val="0"/>
        </w:trPr>
        <w:tc>
          <w:tcPr>
            <w:tcBorders>
              <w:top w:color="1155cc" w:space="0" w:sz="6" w:val="single"/>
              <w:left w:color="1155cc" w:space="0" w:sz="18" w:val="single"/>
              <w:bottom w:color="1155cc" w:space="0" w:sz="6" w:val="single"/>
              <w:right w:color="000000" w:space="0" w:sz="0" w:val="nil"/>
            </w:tcBorders>
            <w:shd w:fill="cfe2f3" w:val="clear"/>
            <w:tcMar>
              <w:top w:w="100.0" w:type="dxa"/>
              <w:left w:w="200.0" w:type="dxa"/>
              <w:bottom w:w="100.0" w:type="dxa"/>
              <w:right w:w="160.0" w:type="dxa"/>
            </w:tcMar>
            <w:vAlign w:val="top"/>
          </w:tcPr>
          <w:p w:rsidR="00000000" w:rsidDel="00000000" w:rsidP="00000000" w:rsidRDefault="00000000" w:rsidRPr="00000000" w14:paraId="0000000A">
            <w:pPr>
              <w:spacing w:after="60" w:line="240" w:lineRule="auto"/>
              <w:rPr>
                <w:b w:val="1"/>
                <w:bCs w:val="1"/>
                <w:color w:val="1155cc"/>
              </w:rPr>
            </w:pPr>
            <w:r w:rsidDel="00000000" w:rsidR="00000000" w:rsidRPr="00000000">
              <w:rPr>
                <w:b w:val="1"/>
                <w:bCs w:val="1"/>
                <w:color w:val="1155cc"/>
                <w:rtl w:val="0"/>
              </w:rPr>
              <w:t xml:space="preserve">Para entenderlo en términos sencillos:</w:t>
            </w:r>
          </w:p>
          <w:p w:rsidR="00000000" w:rsidDel="00000000" w:rsidP="00000000" w:rsidRDefault="00000000" w:rsidRPr="00000000" w14:paraId="0000000B">
            <w:pPr>
              <w:spacing w:line="240" w:lineRule="auto"/>
              <w:jc w:val="both"/>
              <w:rPr/>
            </w:pPr>
            <w:r w:rsidDel="00000000" w:rsidR="00000000" w:rsidRPr="00000000">
              <w:rPr>
                <w:rtl w:val="0"/>
              </w:rPr>
              <w:t xml:space="preserve">La retención en la fuente es un </w:t>
            </w:r>
            <w:r w:rsidDel="00000000" w:rsidR="00000000" w:rsidRPr="00000000">
              <w:rPr>
                <w:b w:val="1"/>
                <w:bCs w:val="1"/>
                <w:rtl w:val="0"/>
              </w:rPr>
              <w:t xml:space="preserve">pago anticipado del impuesto de renta</w:t>
            </w:r>
            <w:r w:rsidDel="00000000" w:rsidR="00000000" w:rsidRPr="00000000">
              <w:rPr>
                <w:rtl w:val="0"/>
              </w:rPr>
              <w:t xml:space="preserve">: el Estado cobra una parte de ese impuesto cada vez que su empresa realiza o recibe ciertos pagos, sin esperar a que se declare al final del año. Con el Decreto 572 de 2025, ese anticipo es mayor que antes. Si al final del año resulta que anticipó más de lo que debía, se genera un </w:t>
            </w:r>
            <w:r w:rsidDel="00000000" w:rsidR="00000000" w:rsidRPr="00000000">
              <w:rPr>
                <w:b w:val="1"/>
                <w:bCs w:val="1"/>
                <w:color w:val="1155cc"/>
                <w:rtl w:val="0"/>
              </w:rPr>
              <w:t xml:space="preserve">saldo a favor</w:t>
            </w:r>
            <w:r w:rsidDel="00000000" w:rsidR="00000000" w:rsidRPr="00000000">
              <w:rPr>
                <w:rtl w:val="0"/>
              </w:rPr>
              <w:t xml:space="preserve"> (</w:t>
            </w:r>
            <w:r w:rsidDel="00000000" w:rsidR="00000000" w:rsidRPr="00000000">
              <w:rPr>
                <w:rtl w:val="0"/>
              </w:rPr>
              <w:t xml:space="preserve">plata que el Estado le queda debiendo y que puede recuperar ante la DIAN).</w:t>
            </w:r>
          </w:p>
        </w:tc>
      </w:tr>
    </w:tbl>
    <w:p w:rsidR="00000000" w:rsidDel="00000000" w:rsidP="00000000" w:rsidRDefault="00000000" w:rsidRPr="00000000" w14:paraId="0000000C">
      <w:pPr>
        <w:spacing w:after="180" w:line="240" w:lineRule="auto"/>
        <w:rPr/>
      </w:pPr>
      <w:r w:rsidDel="00000000" w:rsidR="00000000" w:rsidRPr="00000000">
        <w:rPr>
          <w:rtl w:val="0"/>
        </w:rPr>
        <w:t xml:space="preserve"> </w:t>
      </w:r>
    </w:p>
    <w:p w:rsidR="00000000" w:rsidDel="00000000" w:rsidP="00000000" w:rsidRDefault="00000000" w:rsidRPr="00000000" w14:paraId="0000000D">
      <w:pPr>
        <w:spacing w:after="80" w:line="240" w:lineRule="auto"/>
        <w:rPr>
          <w:b w:val="1"/>
          <w:bCs w:val="1"/>
          <w:color w:val="1155cc"/>
        </w:rPr>
      </w:pPr>
      <w:r w:rsidDel="00000000" w:rsidR="00000000" w:rsidRPr="00000000">
        <w:rPr>
          <w:b w:val="1"/>
          <w:bCs w:val="1"/>
          <w:color w:val="1155cc"/>
          <w:rtl w:val="0"/>
        </w:rPr>
        <w:t xml:space="preserve">¿Qué aplica cuándo?</w:t>
      </w:r>
    </w:p>
    <w:tbl>
      <w:tblPr>
        <w:tblStyle w:val="Table2"/>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3795"/>
        <w:gridCol w:w="2565"/>
        <w:tblGridChange w:id="0">
          <w:tblGrid>
            <w:gridCol w:w="2655"/>
            <w:gridCol w:w="3795"/>
            <w:gridCol w:w="2565"/>
          </w:tblGrid>
        </w:tblGridChange>
      </w:tblGrid>
      <w:tr>
        <w:trPr>
          <w:cantSplit w:val="0"/>
          <w:trHeight w:val="495" w:hRule="atLeast"/>
          <w:tblHeader w:val="0"/>
        </w:trPr>
        <w:tc>
          <w:tcPr>
            <w:tcBorders>
              <w:top w:color="e0d6ee" w:space="0" w:sz="6" w:val="single"/>
              <w:left w:color="e0d6ee" w:space="0" w:sz="6" w:val="single"/>
              <w:bottom w:color="e0d6ee" w:space="0" w:sz="6" w:val="single"/>
              <w:right w:color="e0d6ee" w:space="0" w:sz="6" w:val="single"/>
            </w:tcBorders>
            <w:shd w:fill="1155cc" w:val="clear"/>
            <w:tcMar>
              <w:top w:w="80.0" w:type="dxa"/>
              <w:left w:w="120.0" w:type="dxa"/>
              <w:bottom w:w="80.0" w:type="dxa"/>
              <w:right w:w="120.0" w:type="dxa"/>
            </w:tcMar>
            <w:vAlign w:val="top"/>
          </w:tcPr>
          <w:p w:rsidR="00000000" w:rsidDel="00000000" w:rsidP="00000000" w:rsidRDefault="00000000" w:rsidRPr="00000000" w14:paraId="0000000E">
            <w:pPr>
              <w:spacing w:after="40" w:line="240" w:lineRule="auto"/>
              <w:jc w:val="center"/>
              <w:rPr>
                <w:b w:val="1"/>
                <w:bCs w:val="1"/>
                <w:color w:val="ffffff"/>
              </w:rPr>
            </w:pPr>
            <w:r w:rsidDel="00000000" w:rsidR="00000000" w:rsidRPr="00000000">
              <w:rPr>
                <w:b w:val="1"/>
                <w:bCs w:val="1"/>
                <w:color w:val="ffffff"/>
                <w:rtl w:val="0"/>
              </w:rPr>
              <w:t xml:space="preserve">Período</w:t>
            </w:r>
          </w:p>
        </w:tc>
        <w:tc>
          <w:tcPr>
            <w:tcBorders>
              <w:top w:color="e0d6ee" w:space="0" w:sz="6" w:val="single"/>
              <w:left w:color="000000" w:space="0" w:sz="0" w:val="nil"/>
              <w:bottom w:color="e0d6ee" w:space="0" w:sz="6" w:val="single"/>
              <w:right w:color="e0d6ee" w:space="0" w:sz="6" w:val="single"/>
            </w:tcBorders>
            <w:shd w:fill="1155cc" w:val="clear"/>
            <w:tcMar>
              <w:top w:w="80.0" w:type="dxa"/>
              <w:left w:w="120.0" w:type="dxa"/>
              <w:bottom w:w="80.0" w:type="dxa"/>
              <w:right w:w="120.0" w:type="dxa"/>
            </w:tcMar>
            <w:vAlign w:val="top"/>
          </w:tcPr>
          <w:p w:rsidR="00000000" w:rsidDel="00000000" w:rsidP="00000000" w:rsidRDefault="00000000" w:rsidRPr="00000000" w14:paraId="0000000F">
            <w:pPr>
              <w:spacing w:after="40" w:line="240" w:lineRule="auto"/>
              <w:jc w:val="center"/>
              <w:rPr>
                <w:b w:val="1"/>
                <w:bCs w:val="1"/>
                <w:color w:val="ffffff"/>
              </w:rPr>
            </w:pPr>
            <w:r w:rsidDel="00000000" w:rsidR="00000000" w:rsidRPr="00000000">
              <w:rPr>
                <w:b w:val="1"/>
                <w:bCs w:val="1"/>
                <w:color w:val="ffffff"/>
                <w:rtl w:val="0"/>
              </w:rPr>
              <w:t xml:space="preserve">Norma vigente</w:t>
            </w:r>
          </w:p>
        </w:tc>
        <w:tc>
          <w:tcPr>
            <w:tcBorders>
              <w:top w:color="e0d6ee" w:space="0" w:sz="6" w:val="single"/>
              <w:left w:color="000000" w:space="0" w:sz="0" w:val="nil"/>
              <w:bottom w:color="e0d6ee" w:space="0" w:sz="6" w:val="single"/>
              <w:right w:color="e0d6ee" w:space="0" w:sz="6" w:val="single"/>
            </w:tcBorders>
            <w:shd w:fill="1155cc" w:val="clear"/>
            <w:tcMar>
              <w:top w:w="80.0" w:type="dxa"/>
              <w:left w:w="120.0" w:type="dxa"/>
              <w:bottom w:w="80.0" w:type="dxa"/>
              <w:right w:w="120.0" w:type="dxa"/>
            </w:tcMar>
            <w:vAlign w:val="top"/>
          </w:tcPr>
          <w:p w:rsidR="00000000" w:rsidDel="00000000" w:rsidP="00000000" w:rsidRDefault="00000000" w:rsidRPr="00000000" w14:paraId="00000010">
            <w:pPr>
              <w:spacing w:after="40" w:line="240" w:lineRule="auto"/>
              <w:jc w:val="center"/>
              <w:rPr>
                <w:b w:val="1"/>
                <w:bCs w:val="1"/>
                <w:color w:val="ffffff"/>
              </w:rPr>
            </w:pPr>
            <w:r w:rsidDel="00000000" w:rsidR="00000000" w:rsidRPr="00000000">
              <w:rPr>
                <w:b w:val="1"/>
                <w:bCs w:val="1"/>
                <w:color w:val="ffffff"/>
                <w:rtl w:val="0"/>
              </w:rPr>
              <w:t xml:space="preserve">Efecto en caja</w:t>
            </w:r>
          </w:p>
        </w:tc>
      </w:tr>
      <w:tr>
        <w:trPr>
          <w:cantSplit w:val="0"/>
          <w:trHeight w:val="660" w:hRule="atLeast"/>
          <w:tblHeader w:val="0"/>
        </w:trPr>
        <w:tc>
          <w:tcPr>
            <w:tcBorders>
              <w:top w:color="000000" w:space="0" w:sz="0" w:val="nil"/>
              <w:left w:color="e0d6ee" w:space="0" w:sz="6" w:val="single"/>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1">
            <w:pPr>
              <w:spacing w:after="40" w:line="240" w:lineRule="auto"/>
              <w:rPr>
                <w:b w:val="1"/>
                <w:bCs w:val="1"/>
              </w:rPr>
            </w:pPr>
            <w:r w:rsidDel="00000000" w:rsidR="00000000" w:rsidRPr="00000000">
              <w:rPr>
                <w:b w:val="1"/>
                <w:bCs w:val="1"/>
                <w:rtl w:val="0"/>
              </w:rPr>
              <w:t xml:space="preserve">1 jun 2025 h</w:t>
            </w:r>
            <w:r w:rsidDel="00000000" w:rsidR="00000000" w:rsidRPr="00000000">
              <w:rPr>
                <w:b w:val="1"/>
                <w:bCs w:val="1"/>
                <w:rtl w:val="0"/>
              </w:rPr>
              <w:t xml:space="preserve">asta 7 may 2026</w:t>
            </w:r>
          </w:p>
          <w:p w:rsidR="00000000" w:rsidDel="00000000" w:rsidP="00000000" w:rsidRDefault="00000000" w:rsidRPr="00000000" w14:paraId="00000012">
            <w:pPr>
              <w:spacing w:line="240" w:lineRule="auto"/>
              <w:rPr/>
            </w:pPr>
            <w:r w:rsidDel="00000000" w:rsidR="00000000" w:rsidRPr="00000000">
              <w:rPr>
                <w:rtl w:val="0"/>
              </w:rPr>
              <w:t xml:space="preserve">Decreto 572 de 2025 activo</w:t>
            </w:r>
          </w:p>
        </w:tc>
        <w:tc>
          <w:tcPr>
            <w:tcBorders>
              <w:top w:color="000000" w:space="0" w:sz="0" w:val="nil"/>
              <w:left w:color="000000" w:space="0" w:sz="0" w:val="nil"/>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Tarifas altas, umbrales bajos del decreto.</w:t>
            </w:r>
          </w:p>
        </w:tc>
        <w:tc>
          <w:tcPr>
            <w:tcBorders>
              <w:top w:color="000000" w:space="0" w:sz="0" w:val="nil"/>
              <w:left w:color="000000" w:space="0" w:sz="0" w:val="nil"/>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4">
            <w:pPr>
              <w:spacing w:line="240" w:lineRule="auto"/>
              <w:jc w:val="center"/>
              <w:rPr>
                <w:b w:val="1"/>
                <w:bCs w:val="1"/>
              </w:rPr>
            </w:pPr>
            <w:r w:rsidDel="00000000" w:rsidR="00000000" w:rsidRPr="00000000">
              <w:rPr>
                <w:b w:val="1"/>
                <w:bCs w:val="1"/>
                <w:rtl w:val="0"/>
              </w:rPr>
              <w:t xml:space="preserve">Mayor anticipo</w:t>
            </w:r>
          </w:p>
        </w:tc>
      </w:tr>
      <w:tr>
        <w:trPr>
          <w:cantSplit w:val="0"/>
          <w:trHeight w:val="660" w:hRule="atLeast"/>
          <w:tblHeader w:val="0"/>
        </w:trPr>
        <w:tc>
          <w:tcPr>
            <w:tcBorders>
              <w:top w:color="000000" w:space="0" w:sz="0" w:val="nil"/>
              <w:left w:color="e0d6ee" w:space="0" w:sz="6" w:val="single"/>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5">
            <w:pPr>
              <w:spacing w:after="40" w:line="240" w:lineRule="auto"/>
              <w:rPr>
                <w:b w:val="1"/>
                <w:bCs w:val="1"/>
              </w:rPr>
            </w:pPr>
            <w:r w:rsidDel="00000000" w:rsidR="00000000" w:rsidRPr="00000000">
              <w:rPr>
                <w:b w:val="1"/>
                <w:bCs w:val="1"/>
                <w:rtl w:val="0"/>
              </w:rPr>
              <w:t xml:space="preserve">8 may – 30 jun 2026</w:t>
            </w:r>
          </w:p>
          <w:p w:rsidR="00000000" w:rsidDel="00000000" w:rsidP="00000000" w:rsidRDefault="00000000" w:rsidRPr="00000000" w14:paraId="00000016">
            <w:pPr>
              <w:spacing w:line="240" w:lineRule="auto"/>
              <w:rPr/>
            </w:pPr>
            <w:r w:rsidDel="00000000" w:rsidR="00000000" w:rsidRPr="00000000">
              <w:rPr>
                <w:rtl w:val="0"/>
              </w:rPr>
              <w:t xml:space="preserve">Suspensión</w:t>
            </w:r>
          </w:p>
        </w:tc>
        <w:tc>
          <w:tcPr>
            <w:tcBorders>
              <w:top w:color="000000" w:space="0" w:sz="0" w:val="nil"/>
              <w:left w:color="000000" w:space="0" w:sz="0" w:val="nil"/>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Tarifas anteriores. Lo practicado es válido.</w:t>
            </w:r>
          </w:p>
        </w:tc>
        <w:tc>
          <w:tcPr>
            <w:tcBorders>
              <w:top w:color="000000" w:space="0" w:sz="0" w:val="nil"/>
              <w:left w:color="000000" w:space="0" w:sz="0" w:val="nil"/>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8">
            <w:pPr>
              <w:spacing w:line="240" w:lineRule="auto"/>
              <w:jc w:val="center"/>
              <w:rPr>
                <w:b w:val="1"/>
                <w:bCs w:val="1"/>
              </w:rPr>
            </w:pPr>
            <w:r w:rsidDel="00000000" w:rsidR="00000000" w:rsidRPr="00000000">
              <w:rPr>
                <w:b w:val="1"/>
                <w:bCs w:val="1"/>
                <w:rtl w:val="0"/>
              </w:rPr>
              <w:t xml:space="preserve">Alivio temporal</w:t>
            </w:r>
          </w:p>
        </w:tc>
      </w:tr>
      <w:tr>
        <w:trPr>
          <w:cantSplit w:val="0"/>
          <w:trHeight w:val="660" w:hRule="atLeast"/>
          <w:tblHeader w:val="0"/>
        </w:trPr>
        <w:tc>
          <w:tcPr>
            <w:tcBorders>
              <w:top w:color="000000" w:space="0" w:sz="0" w:val="nil"/>
              <w:left w:color="e0d6ee" w:space="0" w:sz="6" w:val="single"/>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9">
            <w:pPr>
              <w:spacing w:after="40" w:line="240" w:lineRule="auto"/>
              <w:rPr>
                <w:b w:val="1"/>
                <w:bCs w:val="1"/>
              </w:rPr>
            </w:pPr>
            <w:r w:rsidDel="00000000" w:rsidR="00000000" w:rsidRPr="00000000">
              <w:rPr>
                <w:b w:val="1"/>
                <w:bCs w:val="1"/>
                <w:rtl w:val="0"/>
              </w:rPr>
              <w:t xml:space="preserve">Desde 1 jul 2026</w:t>
            </w:r>
          </w:p>
          <w:p w:rsidR="00000000" w:rsidDel="00000000" w:rsidP="00000000" w:rsidRDefault="00000000" w:rsidRPr="00000000" w14:paraId="0000001A">
            <w:pPr>
              <w:spacing w:line="240" w:lineRule="auto"/>
              <w:rPr/>
            </w:pPr>
            <w:r w:rsidDel="00000000" w:rsidR="00000000" w:rsidRPr="00000000">
              <w:rPr>
                <w:rtl w:val="0"/>
              </w:rPr>
              <w:t xml:space="preserve">Decreto 572 de 2025 vuelve</w:t>
            </w:r>
          </w:p>
        </w:tc>
        <w:tc>
          <w:tcPr>
            <w:tcBorders>
              <w:top w:color="000000" w:space="0" w:sz="0" w:val="nil"/>
              <w:left w:color="000000" w:space="0" w:sz="0" w:val="nil"/>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Vuelven las tarifas y umbrales originales del decreto.</w:t>
            </w:r>
          </w:p>
        </w:tc>
        <w:tc>
          <w:tcPr>
            <w:tcBorders>
              <w:top w:color="000000" w:space="0" w:sz="0" w:val="nil"/>
              <w:left w:color="000000" w:space="0" w:sz="0" w:val="nil"/>
              <w:bottom w:color="e0d6ee" w:space="0" w:sz="6" w:val="single"/>
              <w:right w:color="e0d6ee" w:space="0" w:sz="6" w:val="single"/>
            </w:tcBorders>
            <w:shd w:fill="cfe2f3" w:val="clear"/>
            <w:tcMar>
              <w:top w:w="80.0" w:type="dxa"/>
              <w:left w:w="120.0" w:type="dxa"/>
              <w:bottom w:w="80.0" w:type="dxa"/>
              <w:right w:w="120.0" w:type="dxa"/>
            </w:tcMar>
            <w:vAlign w:val="top"/>
          </w:tcPr>
          <w:p w:rsidR="00000000" w:rsidDel="00000000" w:rsidP="00000000" w:rsidRDefault="00000000" w:rsidRPr="00000000" w14:paraId="0000001C">
            <w:pPr>
              <w:spacing w:line="240" w:lineRule="auto"/>
              <w:jc w:val="center"/>
              <w:rPr>
                <w:b w:val="1"/>
                <w:bCs w:val="1"/>
              </w:rPr>
            </w:pPr>
            <w:r w:rsidDel="00000000" w:rsidR="00000000" w:rsidRPr="00000000">
              <w:rPr>
                <w:b w:val="1"/>
                <w:bCs w:val="1"/>
                <w:rtl w:val="0"/>
              </w:rPr>
              <w:t xml:space="preserve">Mayor anticipo</w:t>
            </w:r>
          </w:p>
        </w:tc>
      </w:tr>
    </w:tbl>
    <w:p w:rsidR="00000000" w:rsidDel="00000000" w:rsidP="00000000" w:rsidRDefault="00000000" w:rsidRPr="00000000" w14:paraId="0000001D">
      <w:pPr>
        <w:spacing w:after="200" w:line="240" w:lineRule="auto"/>
        <w:rPr/>
      </w:pPr>
      <w:r w:rsidDel="00000000" w:rsidR="00000000" w:rsidRPr="00000000">
        <w:rPr>
          <w:rtl w:val="0"/>
        </w:rPr>
        <w:t xml:space="preserve"> </w:t>
      </w:r>
    </w:p>
    <w:p w:rsidR="00000000" w:rsidDel="00000000" w:rsidP="00000000" w:rsidRDefault="00000000" w:rsidRPr="00000000" w14:paraId="0000001E">
      <w:pPr>
        <w:spacing w:after="80" w:line="240" w:lineRule="auto"/>
        <w:jc w:val="both"/>
        <w:rPr>
          <w:b w:val="1"/>
          <w:bCs w:val="1"/>
          <w:color w:val="1155cc"/>
        </w:rPr>
      </w:pPr>
      <w:r w:rsidDel="00000000" w:rsidR="00000000" w:rsidRPr="00000000">
        <w:rPr>
          <w:b w:val="1"/>
          <w:bCs w:val="1"/>
          <w:color w:val="1155cc"/>
          <w:rtl w:val="0"/>
        </w:rPr>
        <w:t xml:space="preserve">Lo que voy a gestionar antes del 1 de julio:</w:t>
      </w:r>
    </w:p>
    <w:p w:rsidR="00000000" w:rsidDel="00000000" w:rsidP="00000000" w:rsidRDefault="00000000" w:rsidRPr="00000000" w14:paraId="0000001F">
      <w:pPr>
        <w:spacing w:after="100" w:line="240" w:lineRule="auto"/>
        <w:ind w:left="840" w:hanging="280"/>
        <w:jc w:val="both"/>
        <w:rPr>
          <w:sz w:val="24"/>
          <w:szCs w:val="24"/>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w:t>
      </w:r>
      <w:r w:rsidDel="00000000" w:rsidR="00000000" w:rsidRPr="00000000">
        <w:rPr>
          <w:b w:val="1"/>
          <w:bCs w:val="1"/>
          <w:sz w:val="24"/>
          <w:szCs w:val="24"/>
          <w:rtl w:val="0"/>
        </w:rPr>
        <w:t xml:space="preserve">Actualizo su software contable: </w:t>
      </w:r>
      <w:r w:rsidDel="00000000" w:rsidR="00000000" w:rsidRPr="00000000">
        <w:rPr>
          <w:sz w:val="24"/>
          <w:szCs w:val="24"/>
          <w:rtl w:val="0"/>
        </w:rPr>
        <w:t xml:space="preserve">revisaré</w:t>
      </w:r>
      <w:r w:rsidDel="00000000" w:rsidR="00000000" w:rsidRPr="00000000">
        <w:rPr>
          <w:sz w:val="24"/>
          <w:szCs w:val="24"/>
          <w:rtl w:val="0"/>
        </w:rPr>
        <w:t xml:space="preserve"> todas las tarifas de retención y autorretención en el sistema para que el 1 de julio su empresa facture, pague y declare correctamente.</w:t>
      </w:r>
    </w:p>
    <w:p w:rsidR="00000000" w:rsidDel="00000000" w:rsidP="00000000" w:rsidRDefault="00000000" w:rsidRPr="00000000" w14:paraId="00000020">
      <w:pPr>
        <w:spacing w:after="100" w:line="240" w:lineRule="auto"/>
        <w:ind w:left="840" w:hanging="280"/>
        <w:jc w:val="both"/>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sz w:val="24"/>
          <w:szCs w:val="24"/>
          <w:rtl w:val="0"/>
        </w:rPr>
        <w:t xml:space="preserve">   </w:t>
      </w:r>
      <w:r w:rsidDel="00000000" w:rsidR="00000000" w:rsidRPr="00000000">
        <w:rPr>
          <w:b w:val="1"/>
          <w:bCs w:val="1"/>
          <w:sz w:val="24"/>
          <w:szCs w:val="24"/>
          <w:rtl w:val="0"/>
        </w:rPr>
        <w:t xml:space="preserve">Archivo los soportes del período de suspensión: </w:t>
      </w:r>
      <w:r w:rsidDel="00000000" w:rsidR="00000000" w:rsidRPr="00000000">
        <w:rPr>
          <w:sz w:val="24"/>
          <w:szCs w:val="24"/>
          <w:rtl w:val="0"/>
        </w:rPr>
        <w:t xml:space="preserve">guardo evidencia de que entre mayo y junio se aplicaron las tarifas correctas, como respaldo ante cualquier revisión futura.</w:t>
      </w:r>
    </w:p>
    <w:p w:rsidR="00000000" w:rsidDel="00000000" w:rsidP="00000000" w:rsidRDefault="00000000" w:rsidRPr="00000000" w14:paraId="00000021">
      <w:pPr>
        <w:spacing w:after="80" w:line="240" w:lineRule="auto"/>
        <w:ind w:left="840" w:hanging="280"/>
        <w:jc w:val="both"/>
        <w:rPr>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bCs w:val="1"/>
          <w:sz w:val="24"/>
          <w:szCs w:val="24"/>
          <w:rtl w:val="0"/>
        </w:rPr>
        <w:t xml:space="preserve">Monitoreo continuo del flujo de caja: </w:t>
      </w:r>
      <w:r w:rsidDel="00000000" w:rsidR="00000000" w:rsidRPr="00000000">
        <w:rPr>
          <w:sz w:val="24"/>
          <w:szCs w:val="24"/>
          <w:rtl w:val="0"/>
        </w:rPr>
        <w:t xml:space="preserve">haré seguimiento periódico para que las retenciones no golpeen más de lo necesario la liquidez de su empresa. Estas son las variables que estaré revisando:</w:t>
      </w:r>
    </w:p>
    <w:p w:rsidR="00000000" w:rsidDel="00000000" w:rsidP="00000000" w:rsidRDefault="00000000" w:rsidRPr="00000000" w14:paraId="00000022">
      <w:pPr>
        <w:spacing w:after="80" w:line="240" w:lineRule="auto"/>
        <w:ind w:left="1280" w:hanging="280"/>
        <w:jc w:val="both"/>
        <w:rPr>
          <w:sz w:val="24"/>
          <w:szCs w:val="24"/>
        </w:rPr>
      </w:pPr>
      <w:r w:rsidDel="00000000" w:rsidR="00000000" w:rsidRPr="00000000">
        <w:rPr>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b w:val="1"/>
          <w:bCs w:val="1"/>
          <w:color w:val="1155cc"/>
          <w:sz w:val="24"/>
          <w:szCs w:val="24"/>
          <w:rtl w:val="0"/>
        </w:rPr>
        <w:t xml:space="preserve">Nivel de retenciones acumuladas vs. impuesto proyectado: </w:t>
      </w:r>
      <w:r w:rsidDel="00000000" w:rsidR="00000000" w:rsidRPr="00000000">
        <w:rPr>
          <w:sz w:val="24"/>
          <w:szCs w:val="24"/>
          <w:rtl w:val="0"/>
        </w:rPr>
        <w:t xml:space="preserve">si las retenciones del año ya superan el impuesto estimado, evaluamos las estrategias a tener en cuenta.</w:t>
      </w:r>
    </w:p>
    <w:p w:rsidR="00000000" w:rsidDel="00000000" w:rsidP="00000000" w:rsidRDefault="00000000" w:rsidRPr="00000000" w14:paraId="00000023">
      <w:pPr>
        <w:spacing w:after="80" w:line="240" w:lineRule="auto"/>
        <w:ind w:left="1280" w:hanging="280"/>
        <w:jc w:val="both"/>
        <w:rPr>
          <w:sz w:val="24"/>
          <w:szCs w:val="24"/>
        </w:rPr>
      </w:pPr>
      <w:r w:rsidDel="00000000" w:rsidR="00000000" w:rsidRPr="00000000">
        <w:rPr>
          <w:color w:val="1155cc"/>
          <w:sz w:val="24"/>
          <w:szCs w:val="24"/>
          <w:rtl w:val="0"/>
        </w:rPr>
        <w:t xml:space="preserve">▸</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b w:val="1"/>
          <w:bCs w:val="1"/>
          <w:color w:val="1155cc"/>
          <w:sz w:val="24"/>
          <w:szCs w:val="24"/>
          <w:rtl w:val="0"/>
        </w:rPr>
        <w:t xml:space="preserve">Saldos a favor en formación</w:t>
      </w:r>
      <w:r w:rsidDel="00000000" w:rsidR="00000000" w:rsidRPr="00000000">
        <w:rPr>
          <w:b w:val="1"/>
          <w:bCs w:val="1"/>
          <w:color w:val="00695c"/>
          <w:sz w:val="24"/>
          <w:szCs w:val="24"/>
          <w:rtl w:val="0"/>
        </w:rPr>
        <w:t xml:space="preserve">: </w:t>
      </w:r>
      <w:r w:rsidDel="00000000" w:rsidR="00000000" w:rsidRPr="00000000">
        <w:rPr>
          <w:sz w:val="24"/>
          <w:szCs w:val="24"/>
          <w:rtl w:val="0"/>
        </w:rPr>
        <w:t xml:space="preserve">identifico desde qué mes el anticipo empieza a superar el impuesto real.</w:t>
      </w:r>
    </w:p>
    <w:p w:rsidR="00000000" w:rsidDel="00000000" w:rsidP="00000000" w:rsidRDefault="00000000" w:rsidRPr="00000000" w14:paraId="00000024">
      <w:pPr>
        <w:spacing w:after="80" w:line="240" w:lineRule="auto"/>
        <w:ind w:left="1280" w:hanging="280"/>
        <w:jc w:val="both"/>
        <w:rPr>
          <w:sz w:val="24"/>
          <w:szCs w:val="24"/>
        </w:rPr>
      </w:pPr>
      <w:r w:rsidDel="00000000" w:rsidR="00000000" w:rsidRPr="00000000">
        <w:rPr>
          <w:color w:val="1155cc"/>
          <w:sz w:val="24"/>
          <w:szCs w:val="24"/>
          <w:rtl w:val="0"/>
        </w:rPr>
        <w:t xml:space="preserve">▸</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b w:val="1"/>
          <w:bCs w:val="1"/>
          <w:color w:val="1155cc"/>
          <w:sz w:val="24"/>
          <w:szCs w:val="24"/>
          <w:rtl w:val="0"/>
        </w:rPr>
        <w:t xml:space="preserve">Margen operativo del negocio:</w:t>
      </w:r>
      <w:r w:rsidDel="00000000" w:rsidR="00000000" w:rsidRPr="00000000">
        <w:rPr>
          <w:b w:val="1"/>
          <w:bCs w:val="1"/>
          <w:color w:val="00695c"/>
          <w:sz w:val="24"/>
          <w:szCs w:val="24"/>
          <w:rtl w:val="0"/>
        </w:rPr>
        <w:t xml:space="preserve"> </w:t>
      </w:r>
      <w:r w:rsidDel="00000000" w:rsidR="00000000" w:rsidRPr="00000000">
        <w:rPr>
          <w:sz w:val="24"/>
          <w:szCs w:val="24"/>
          <w:rtl w:val="0"/>
        </w:rPr>
        <w:t xml:space="preserve">si su rentabilidad bajó frente al año anterior, las retenciones calculadas sobre ingresos brutos pueden volverse desproporcionadas. Lo reviso y le alerto.</w:t>
      </w:r>
    </w:p>
    <w:p w:rsidR="00000000" w:rsidDel="00000000" w:rsidP="00000000" w:rsidRDefault="00000000" w:rsidRPr="00000000" w14:paraId="00000025">
      <w:pPr>
        <w:spacing w:after="80" w:line="240" w:lineRule="auto"/>
        <w:ind w:left="1280" w:hanging="280"/>
        <w:jc w:val="both"/>
        <w:rPr>
          <w:sz w:val="24"/>
          <w:szCs w:val="24"/>
        </w:rPr>
      </w:pPr>
      <w:r w:rsidDel="00000000" w:rsidR="00000000" w:rsidRPr="00000000">
        <w:rPr>
          <w:color w:val="1155cc"/>
          <w:sz w:val="24"/>
          <w:szCs w:val="24"/>
          <w:rtl w:val="0"/>
        </w:rPr>
        <w:t xml:space="preserve">▸</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b w:val="1"/>
          <w:bCs w:val="1"/>
          <w:color w:val="1155cc"/>
          <w:sz w:val="24"/>
          <w:szCs w:val="24"/>
          <w:rtl w:val="0"/>
        </w:rPr>
        <w:t xml:space="preserve">  </w:t>
      </w:r>
      <w:r w:rsidDel="00000000" w:rsidR="00000000" w:rsidRPr="00000000">
        <w:rPr>
          <w:b w:val="1"/>
          <w:bCs w:val="1"/>
          <w:color w:val="1155cc"/>
          <w:sz w:val="24"/>
          <w:szCs w:val="24"/>
          <w:rtl w:val="0"/>
        </w:rPr>
        <w:t xml:space="preserve">Calendario de vencimientos y caja disponible: </w:t>
      </w:r>
      <w:r w:rsidDel="00000000" w:rsidR="00000000" w:rsidRPr="00000000">
        <w:rPr>
          <w:sz w:val="24"/>
          <w:szCs w:val="24"/>
          <w:rtl w:val="0"/>
        </w:rPr>
        <w:t xml:space="preserve">cruzo las fechas de pago de retenciones con el flujo de caja mensual para que no coincidan con períodos de baja liquidez.</w:t>
      </w:r>
    </w:p>
    <w:p w:rsidR="00000000" w:rsidDel="00000000" w:rsidP="00000000" w:rsidRDefault="00000000" w:rsidRPr="00000000" w14:paraId="00000026">
      <w:pPr>
        <w:spacing w:after="80" w:line="240" w:lineRule="auto"/>
        <w:ind w:left="1280" w:hanging="280"/>
        <w:jc w:val="both"/>
        <w:rPr>
          <w:sz w:val="24"/>
          <w:szCs w:val="24"/>
        </w:rPr>
      </w:pPr>
      <w:r w:rsidDel="00000000" w:rsidR="00000000" w:rsidRPr="00000000">
        <w:rPr>
          <w:rtl w:val="0"/>
        </w:rPr>
      </w:r>
    </w:p>
    <w:tbl>
      <w:tblPr>
        <w:tblStyle w:val="Table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1320" w:hRule="atLeast"/>
          <w:tblHeader w:val="0"/>
        </w:trPr>
        <w:tc>
          <w:tcPr>
            <w:tcBorders>
              <w:top w:color="1155cc" w:space="0" w:sz="6" w:val="single"/>
              <w:left w:color="1155cc" w:space="0" w:sz="18" w:val="single"/>
              <w:bottom w:color="1155cc" w:space="0" w:sz="6" w:val="single"/>
              <w:right w:color="000000" w:space="0" w:sz="0" w:val="nil"/>
            </w:tcBorders>
            <w:shd w:fill="cfe2f3" w:val="clear"/>
            <w:tcMar>
              <w:top w:w="100.0" w:type="dxa"/>
              <w:left w:w="200.0" w:type="dxa"/>
              <w:bottom w:w="100.0" w:type="dxa"/>
              <w:right w:w="160.0" w:type="dxa"/>
            </w:tcMar>
            <w:vAlign w:val="top"/>
          </w:tcPr>
          <w:p w:rsidR="00000000" w:rsidDel="00000000" w:rsidP="00000000" w:rsidRDefault="00000000" w:rsidRPr="00000000" w14:paraId="00000027">
            <w:pPr>
              <w:spacing w:line="240" w:lineRule="auto"/>
              <w:jc w:val="both"/>
              <w:rPr>
                <w:sz w:val="24"/>
                <w:szCs w:val="24"/>
              </w:rPr>
            </w:pPr>
            <w:r w:rsidDel="00000000" w:rsidR="00000000" w:rsidRPr="00000000">
              <w:rPr>
                <w:sz w:val="24"/>
                <w:szCs w:val="24"/>
                <w:rtl w:val="0"/>
              </w:rPr>
              <w:t xml:space="preserve">Entiendo que estos cambios frecuentes generan incertidumbre. Por eso mi trabajo es anticiparme a ellos. Cualquier duda, escríbame o llámeme.</w:t>
            </w:r>
          </w:p>
        </w:tc>
      </w:tr>
    </w:tbl>
    <w:p w:rsidR="00000000" w:rsidDel="00000000" w:rsidP="00000000" w:rsidRDefault="00000000" w:rsidRPr="00000000" w14:paraId="00000028">
      <w:pPr>
        <w:spacing w:after="20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after="200" w:line="240" w:lineRule="auto"/>
        <w:jc w:val="both"/>
        <w:rPr>
          <w:sz w:val="24"/>
          <w:szCs w:val="24"/>
        </w:rPr>
      </w:pPr>
      <w:r w:rsidDel="00000000" w:rsidR="00000000" w:rsidRPr="00000000">
        <w:rPr>
          <w:sz w:val="24"/>
          <w:szCs w:val="24"/>
          <w:rtl w:val="0"/>
        </w:rPr>
        <w:t xml:space="preserve">Cordialmente,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6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after="40" w:line="240" w:lineRule="auto"/>
        <w:jc w:val="both"/>
        <w:rPr>
          <w:b w:val="1"/>
          <w:bCs w:val="1"/>
          <w:color w:val="1155cc"/>
          <w:sz w:val="24"/>
          <w:szCs w:val="24"/>
        </w:rPr>
      </w:pPr>
      <w:r w:rsidDel="00000000" w:rsidR="00000000" w:rsidRPr="00000000">
        <w:rPr>
          <w:b w:val="1"/>
          <w:bCs w:val="1"/>
          <w:color w:val="1155cc"/>
          <w:sz w:val="24"/>
          <w:szCs w:val="24"/>
          <w:rtl w:val="0"/>
        </w:rPr>
        <w:t xml:space="preserve">[Nombre completo]</w:t>
      </w:r>
    </w:p>
    <w:p w:rsidR="00000000" w:rsidDel="00000000" w:rsidP="00000000" w:rsidRDefault="00000000" w:rsidRPr="00000000" w14:paraId="0000002D">
      <w:pPr>
        <w:spacing w:after="40" w:line="240" w:lineRule="auto"/>
        <w:jc w:val="both"/>
        <w:rPr>
          <w:sz w:val="24"/>
          <w:szCs w:val="24"/>
        </w:rPr>
      </w:pPr>
      <w:r w:rsidDel="00000000" w:rsidR="00000000" w:rsidRPr="00000000">
        <w:rPr>
          <w:sz w:val="24"/>
          <w:szCs w:val="24"/>
          <w:rtl w:val="0"/>
        </w:rPr>
        <w:t xml:space="preserve">Contador/a Público/a  ·  T.P. No. [XXXXX]</w:t>
      </w:r>
    </w:p>
    <w:p w:rsidR="00000000" w:rsidDel="00000000" w:rsidP="00000000" w:rsidRDefault="00000000" w:rsidRPr="00000000" w14:paraId="0000002E">
      <w:pPr>
        <w:spacing w:after="200" w:line="240" w:lineRule="auto"/>
        <w:jc w:val="both"/>
        <w:rPr>
          <w:color w:val="999aaa"/>
          <w:sz w:val="24"/>
          <w:szCs w:val="24"/>
        </w:rPr>
      </w:pPr>
      <w:r w:rsidDel="00000000" w:rsidR="00000000" w:rsidRPr="00000000">
        <w:rPr>
          <w:color w:val="999aaa"/>
          <w:sz w:val="24"/>
          <w:szCs w:val="24"/>
          <w:rtl w:val="0"/>
        </w:rPr>
        <w:t xml:space="preserve">[Correo]  ·  [Teléfono]</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60" w:lineRule="auto"/>
        <w:rPr/>
      </w:pPr>
      <w:r w:rsidDel="00000000" w:rsidR="00000000" w:rsidRPr="00000000">
        <w:rPr>
          <w:rtl w:val="0"/>
        </w:rPr>
        <w:t xml:space="preserve"> </w:t>
      </w:r>
    </w:p>
    <w:p w:rsidR="00000000" w:rsidDel="00000000" w:rsidP="00000000" w:rsidRDefault="00000000" w:rsidRPr="00000000" w14:paraId="00000030">
      <w:pPr>
        <w:jc w:val="center"/>
        <w:rPr>
          <w:color w:val="999aaa"/>
        </w:rPr>
      </w:pPr>
      <w:r w:rsidDel="00000000" w:rsidR="00000000" w:rsidRPr="00000000">
        <w:rPr>
          <w:rtl w:val="0"/>
        </w:rPr>
      </w:r>
    </w:p>
    <w:p w:rsidR="00000000" w:rsidDel="00000000" w:rsidP="00000000" w:rsidRDefault="00000000" w:rsidRPr="00000000" w14:paraId="00000031">
      <w:pPr>
        <w:jc w:val="center"/>
        <w:rPr>
          <w:color w:val="999aaa"/>
        </w:rPr>
      </w:pPr>
      <w:r w:rsidDel="00000000" w:rsidR="00000000" w:rsidRPr="00000000">
        <w:rPr>
          <w:rtl w:val="0"/>
        </w:rPr>
      </w:r>
    </w:p>
    <w:p w:rsidR="00000000" w:rsidDel="00000000" w:rsidP="00000000" w:rsidRDefault="00000000" w:rsidRPr="00000000" w14:paraId="00000032">
      <w:pPr>
        <w:jc w:val="center"/>
        <w:rPr>
          <w:color w:val="999aaa"/>
        </w:rPr>
      </w:pPr>
      <w:r w:rsidDel="00000000" w:rsidR="00000000" w:rsidRPr="00000000">
        <w:rPr>
          <w:rtl w:val="0"/>
        </w:rPr>
      </w:r>
    </w:p>
    <w:p w:rsidR="00000000" w:rsidDel="00000000" w:rsidP="00000000" w:rsidRDefault="00000000" w:rsidRPr="00000000" w14:paraId="00000033">
      <w:pPr>
        <w:jc w:val="center"/>
        <w:rPr>
          <w:color w:val="999aaa"/>
        </w:rPr>
      </w:pPr>
      <w:r w:rsidDel="00000000" w:rsidR="00000000" w:rsidRPr="00000000">
        <w:rPr>
          <w:rtl w:val="0"/>
        </w:rPr>
      </w:r>
    </w:p>
    <w:p w:rsidR="00000000" w:rsidDel="00000000" w:rsidP="00000000" w:rsidRDefault="00000000" w:rsidRPr="00000000" w14:paraId="00000034">
      <w:pPr>
        <w:jc w:val="center"/>
        <w:rPr>
          <w:color w:val="999aaa"/>
        </w:rPr>
      </w:pPr>
      <w:r w:rsidDel="00000000" w:rsidR="00000000" w:rsidRPr="00000000">
        <w:rPr>
          <w:rtl w:val="0"/>
        </w:rPr>
      </w:r>
    </w:p>
    <w:p w:rsidR="00000000" w:rsidDel="00000000" w:rsidP="00000000" w:rsidRDefault="00000000" w:rsidRPr="00000000" w14:paraId="00000035">
      <w:pPr>
        <w:jc w:val="center"/>
        <w:rPr>
          <w:color w:val="999aaa"/>
        </w:rPr>
      </w:pPr>
      <w:r w:rsidDel="00000000" w:rsidR="00000000" w:rsidRPr="00000000">
        <w:rPr>
          <w:rtl w:val="0"/>
        </w:rPr>
      </w:r>
    </w:p>
    <w:p w:rsidR="00000000" w:rsidDel="00000000" w:rsidP="00000000" w:rsidRDefault="00000000" w:rsidRPr="00000000" w14:paraId="00000036">
      <w:pPr>
        <w:jc w:val="center"/>
        <w:rPr>
          <w:color w:val="999aaa"/>
        </w:rPr>
      </w:pPr>
      <w:r w:rsidDel="00000000" w:rsidR="00000000" w:rsidRPr="00000000">
        <w:rPr>
          <w:rtl w:val="0"/>
        </w:rPr>
      </w:r>
    </w:p>
    <w:p w:rsidR="00000000" w:rsidDel="00000000" w:rsidP="00000000" w:rsidRDefault="00000000" w:rsidRPr="00000000" w14:paraId="00000037">
      <w:pPr>
        <w:jc w:val="center"/>
        <w:rPr>
          <w:color w:val="999aaa"/>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color w:val="999aaa"/>
          <w:rtl w:val="0"/>
        </w:rPr>
        <w:t xml:space="preserve">Circular informativa. No constituye concepto jurídico vinculante. Fuente: Consejo de Estado, auto del 2 de junio de 2026, Exp. 11001-03-27-000-2025-00055-00.</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